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Creekmuir William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DUBUQUE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17,055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awarded as part of quarterly non-executive director compensation.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 Executing Forms 3, 4, 5 and 144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Becca Kuhle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Dena A. Lang, signing singly, as his or 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for such period of time that the undersigned is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reports pursuant to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 (the ?Exchange Act?), or Rule 144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(the "Securities Act"), due to his or her affiliation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Flexsteel Industries, Inc., a Minnesota corporation, 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solely for the purpose of:</w:t>
      </w:r>
    </w:p>
    <w:p>
      <w:pPr>
        <w:pStyle w:val="PreformattedText"/>
        <w:bidi w:val="0"/>
        <w:spacing w:before="0" w:after="0"/>
        <w:jc w:val="left"/>
        <w:rPr/>
      </w:pPr>
      <w:r>
        <w:rPr/>
        <w:t>1) executing for and on behalf of the undersigned Forms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144 and any amendments to previously filed forms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Exchange Act or Rule 144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2) doing and performing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any such Forms 3, 4, 5 and 144 and the timely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other authority as required by law;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3) taking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terms and conditions as such attorney-in-fact may approve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and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his or her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William S. Creekmuir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8493" TargetMode="External"/><Relationship Id="rId5" Type="http://schemas.openxmlformats.org/officeDocument/2006/relationships/hyperlink" Target="http://www.sec.gov/cgi-bin/browse-edgar?action=getcompany&amp;CIK=0000037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1013</Words>
  <Characters>5321</Characters>
  <CharactersWithSpaces>6226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