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3663dsd.htm"/>
      <w:bookmarkStart w:id="1" w:name="ksd143663dsd"/>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Specialized Disclosure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FLEXSTEEL INDUSTRIES,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MINNESOTA</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0-5151</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42-0442319</w:t>
            </w:r>
          </w:p>
        </w:tc>
      </w:tr>
      <w:tr>
        <w:trPr/>
        <w:tc>
          <w:tcPr>
            <w:tcW w:w="3470" w:type="dxa"/>
            <w:tcBorders/>
          </w:tcPr>
          <w:p>
            <w:pPr>
              <w:pStyle w:val="TableContents"/>
              <w:bidi w:val="0"/>
              <w:spacing w:before="0" w:after="283"/>
              <w:jc w:val="center"/>
              <w:rPr>
                <w:b/>
              </w:rPr>
            </w:pPr>
            <w:r>
              <w:rPr>
                <w:b/>
              </w:rPr>
              <w:t>(State or other jurisdiction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(Commission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r>
          </w:p>
        </w:tc>
      </w:tr>
      <w:tr>
        <w:trPr/>
        <w:tc>
          <w:tcPr>
            <w:tcW w:w="3470" w:type="dxa"/>
            <w:tcBorders/>
          </w:tcPr>
          <w:p>
            <w:pPr>
              <w:pStyle w:val="TableContents"/>
              <w:bidi w:val="0"/>
              <w:spacing w:before="0" w:after="283"/>
              <w:jc w:val="center"/>
              <w:rPr>
                <w:b/>
              </w:rPr>
            </w:pPr>
            <w:r>
              <w:rPr>
                <w:b/>
              </w:rPr>
              <w:t>of 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Identification No.)</w:t>
            </w:r>
          </w:p>
        </w:tc>
      </w:tr>
      <w:tr>
        <w:trPr>
          <w:trHeight w:val="240" w:hRule="atLeast"/>
        </w:trPr>
        <w:tc>
          <w:tcPr>
            <w:tcW w:w="6837" w:type="dxa"/>
            <w:gridSpan w:val="3"/>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6837" w:type="dxa"/>
            <w:gridSpan w:val="3"/>
            <w:tcBorders/>
          </w:tcPr>
          <w:p>
            <w:pPr>
              <w:pStyle w:val="TableContents"/>
              <w:bidi w:val="0"/>
              <w:spacing w:before="0" w:after="283"/>
              <w:jc w:val="center"/>
              <w:rPr>
                <w:b/>
              </w:rPr>
            </w:pPr>
            <w:r>
              <w:rPr>
                <w:b/>
              </w:rPr>
              <w:t>385 Bell St. Dubuque, IA</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52001-7004</w:t>
            </w:r>
          </w:p>
        </w:tc>
      </w:tr>
      <w:tr>
        <w:trPr/>
        <w:tc>
          <w:tcPr>
            <w:tcW w:w="6837" w:type="dxa"/>
            <w:gridSpan w:val="3"/>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(Zip Code)</w:t>
            </w:r>
          </w:p>
        </w:tc>
      </w:tr>
      <w:tr>
        <w:trPr>
          <w:trHeight w:val="240" w:hRule="atLeast"/>
        </w:trPr>
        <w:tc>
          <w:tcPr>
            <w:tcW w:w="6837" w:type="dxa"/>
            <w:gridSpan w:val="3"/>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6837" w:type="dxa"/>
            <w:gridSpan w:val="3"/>
            <w:tcBorders/>
          </w:tcPr>
          <w:p>
            <w:pPr>
              <w:pStyle w:val="TableContents"/>
              <w:bidi w:val="0"/>
              <w:spacing w:before="0" w:after="283"/>
              <w:jc w:val="center"/>
              <w:rPr>
                <w:b/>
              </w:rPr>
            </w:pPr>
            <w:r>
              <w:rPr>
                <w:b/>
              </w:rPr>
              <w:t>Michael J. Ressler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(563) 556-7730</w:t>
            </w:r>
          </w:p>
        </w:tc>
      </w:tr>
    </w:tbl>
    <w:p>
      <w:pPr>
        <w:pStyle w:val="TextBody"/>
        <w:bidi w:val="0"/>
        <w:spacing w:before="0" w:after="0"/>
        <w:jc w:val="center"/>
        <w:rPr>
          <w:rFonts w:ascii="Times New Roman" w:hAnsi="Times New Roman"/>
          <w:b/>
          <w:sz w:val="16"/>
        </w:rPr>
      </w:pPr>
      <w:r>
        <w:rPr>
          <w:rFonts w:ascii="Times New Roman" w:hAnsi="Times New Roman"/>
          <w:b/>
          <w:sz w:val="16"/>
        </w:rPr>
        <w:t xml:space="preserve">(Name and telephone, including area code, of the person to contact in connection with this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indicate the rule pursuant to which this form is being filed, and provide the period to which the information in this form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13p-1 under Securities Exchange Act (17CFR240.13p-1) for the reporting period from January 1 to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13q-1 under the Securities Exchange Act (17 CFR 240.13q-1) for the fiscal year ended _______.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 – Conflict Minerals Disclosure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1.01</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Conflict Minerals Disclosure and Report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Flexsteel Industries, Inc. (the “Company”), evaluated its current products and determined that certain products it manufactures or contracts to manufacture contain cassiterite which is limited to tin, as well as gold. Accordingly, the Company files herewith as Exhibit 1.01 its Conflict Minerals Report for the calendar year ended December 31, 2025. The Report is also available at </w:t>
      </w:r>
      <w:r>
        <w:rPr>
          <w:rFonts w:ascii="Times New Roman" w:hAnsi="Times New Roman"/>
          <w:sz w:val="20"/>
          <w:u w:val="single"/>
        </w:rPr>
        <w:t>ir.flexsteel.com</w:t>
      </w:r>
      <w:r>
        <w:rPr>
          <w:rFonts w:ascii="Times New Roman" w:hAnsi="Times New Roman"/>
          <w:sz w:val="20"/>
        </w:rPr>
        <w:t xml:space="preserve"> under the “Financials” section “SEC Filings” tab.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1.02</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Exhibit 1.01 to this specialized disclosure report,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 Resource Extraction Issuer Disclosure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 – Exhibits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3.01</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Exhibit 1.01 – Conflict Minerals Report as required by Items 1.01 and 1.02 of this Form.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had duly caused this report to be signed on its behalf by the duly authorized undersigned.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7"/>
        <w:gridCol w:w="101"/>
        <w:gridCol w:w="408"/>
        <w:gridCol w:w="101"/>
        <w:gridCol w:w="4798"/>
      </w:tblGrid>
      <w:tr>
        <w:trPr/>
        <w:tc>
          <w:tcPr>
            <w:tcW w:w="47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FLEXSTEEL INDUSTRIES, INC.</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(Registrant)</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Michael J. Ressler</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June 1, 2026</w:t>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By: Michael J. Ressler, Chief Financial Officer</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Date</w:t>
            </w:r>
          </w:p>
        </w:tc>
      </w:tr>
    </w:tbl>
    <w:p>
      <w:pPr>
        <w:pStyle w:val="TextBody"/>
        <w:bidi w:val="0"/>
        <w:spacing w:before="0" w:after="0"/>
        <w:jc w:val="right"/>
        <w:rPr>
          <w:rFonts w:ascii="Times New Roman" w:hAnsi="Times New Roman"/>
          <w:b/>
          <w:sz w:val="20"/>
        </w:rPr>
      </w:pPr>
      <w:bookmarkStart w:id="2" w:name="d143663dex101.htm"/>
      <w:bookmarkStart w:id="3" w:name="ksd143663dex101"/>
      <w:bookmarkEnd w:id="2"/>
      <w:bookmarkEnd w:id="3"/>
      <w:r>
        <w:rPr>
          <w:rFonts w:ascii="Times New Roman" w:hAnsi="Times New Roman"/>
          <w:b/>
          <w:sz w:val="20"/>
        </w:rPr>
        <w:t xml:space="preserve">Exhibit 1.01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Flexsteel Industries, Inc. </w:t>
      </w:r>
    </w:p>
    <w:p>
      <w:pPr>
        <w:pStyle w:val="TextBody"/>
        <w:bidi w:val="0"/>
        <w:spacing w:before="240" w:after="0"/>
        <w:jc w:val="left"/>
        <w:rPr>
          <w:rFonts w:ascii="Times New Roman" w:hAnsi="Times New Roman"/>
          <w:b/>
          <w:sz w:val="20"/>
        </w:rPr>
      </w:pPr>
      <w:r>
        <w:rPr>
          <w:rFonts w:ascii="Times New Roman" w:hAnsi="Times New Roman"/>
          <w:b/>
          <w:sz w:val="20"/>
        </w:rPr>
        <w:t xml:space="preserve">Conflict Minerals Report For the reporting period from January 1, 2025, to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the terms “Company”, “Flexsteel”, “we”, “us” or “our” refer to Flexsteel Industries, Inc., the Registrant,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This Conflict Minerals Report (the “Report”) of Flexsteel Industries, Inc. has been prepared pursuant to Rule 13p-1 and Form SD (the “Rule”) promulgated under the Securities and Exchange Act of 1934, as amended (the “1934 Act”), for the reporting period January 1, 2025, to December 31, 2025. Many terms in this Report are defined in Rule 13p-1 and Form SD and the reader is referred to those sources and to the 1934 Act Release No. 34-67716 (August 22, 2012) for such definitions. </w:t>
      </w:r>
    </w:p>
    <w:p>
      <w:pPr>
        <w:pStyle w:val="TextBody"/>
        <w:bidi w:val="0"/>
        <w:spacing w:before="240" w:after="0"/>
        <w:jc w:val="left"/>
        <w:rPr>
          <w:rFonts w:ascii="Times New Roman" w:hAnsi="Times New Roman"/>
          <w:sz w:val="20"/>
        </w:rPr>
      </w:pPr>
      <w:r>
        <w:rPr>
          <w:rFonts w:ascii="Times New Roman" w:hAnsi="Times New Roman"/>
          <w:sz w:val="20"/>
        </w:rPr>
        <w:t xml:space="preserve">The Rule requires disclosure of certain information when a company manufactures or contracts to manufacture products and the minerals specified in the Rule are necessary to the functionality or production of those products. The specified minerals, which we collectively refer to in this Report as the “Conflict Minerals” are columbite-tantalite (coltan), cassiterite, gold, wolframite, or their derivatives, which are limited to tantalum, tin, and tungsten. </w:t>
      </w:r>
    </w:p>
    <w:p>
      <w:pPr>
        <w:pStyle w:val="TextBody"/>
        <w:bidi w:val="0"/>
        <w:spacing w:before="0" w:after="0"/>
        <w:jc w:val="left"/>
        <w:rPr>
          <w:rFonts w:ascii="Times New Roman" w:hAnsi="Times New Roman"/>
          <w:sz w:val="20"/>
        </w:rPr>
      </w:pPr>
      <w:r>
        <w:rPr>
          <w:rFonts w:ascii="Times New Roman" w:hAnsi="Times New Roman"/>
          <w:sz w:val="20"/>
        </w:rPr>
        <w:t xml:space="preserve">The “Covered Countries” for the purposes of the Rule and this Report are the Democratic Republic of the Congo, the Republic of the Congo, the Central African Republic, South Sudan, Uganda, Rwanda, Burundi, Tanzania, Zambia, and Angola. As described in this Report, certain of our operations manufacture, or contract to manufacture products, and the Conflict Minerals are necessary to the functionality or production of those products. </w:t>
      </w:r>
    </w:p>
    <w:p>
      <w:pPr>
        <w:pStyle w:val="TextBody"/>
        <w:bidi w:val="0"/>
        <w:spacing w:before="240" w:after="0"/>
        <w:jc w:val="left"/>
        <w:rPr>
          <w:rFonts w:ascii="Times New Roman" w:hAnsi="Times New Roman"/>
          <w:b/>
          <w:sz w:val="20"/>
        </w:rPr>
      </w:pPr>
      <w:r>
        <w:rPr>
          <w:rFonts w:ascii="Times New Roman" w:hAnsi="Times New Roman"/>
          <w:b/>
          <w:sz w:val="20"/>
        </w:rPr>
        <w:t xml:space="preserve">Description of the Company’s Products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Flexsteel Industries, Inc. and subsidiaries is one of the largest manufacturers, importers, and marketers of furniture products in the United States. Product offerings include a wide variety of furniture such as sofas, loveseats, chairs, reclining rocking chairs, swivel rockers, sofa beds, convertible bedding units, occasional tables, desks, dining tables and chairs, kitchen storage, bedroom furniture, and outdoor furniture. A featured component in most of the upholstered furniture is a unique steel drop-in seat spring from which the name “Flexsteel” is derived. The Company distributes its products throughout the United States through its e-commerce channel and dealer sales force. </w:t>
      </w:r>
    </w:p>
    <w:p>
      <w:pPr>
        <w:pStyle w:val="TextBody"/>
        <w:bidi w:val="0"/>
        <w:spacing w:before="240" w:after="0"/>
        <w:jc w:val="left"/>
        <w:rPr>
          <w:rFonts w:ascii="Times New Roman" w:hAnsi="Times New Roman"/>
          <w:sz w:val="20"/>
        </w:rPr>
      </w:pPr>
      <w:r>
        <w:rPr>
          <w:rFonts w:ascii="Times New Roman" w:hAnsi="Times New Roman"/>
          <w:sz w:val="20"/>
        </w:rPr>
        <w:t xml:space="preserve">This Report relates to products: (i) for which Conflict Minerals are necessary to the functionality or production of the product; (ii) that were manufactured, or contracted to be manufactured, by the Company; and (iii) for which the manufacture was completed during the calendar year 2025. The Company’s products may contain Conflict Minerals and are covered by this report. </w:t>
      </w:r>
    </w:p>
    <w:p>
      <w:pPr>
        <w:pStyle w:val="TextBody"/>
        <w:bidi w:val="0"/>
        <w:spacing w:before="240" w:after="0"/>
        <w:jc w:val="left"/>
        <w:rPr>
          <w:rFonts w:ascii="Times New Roman" w:hAnsi="Times New Roman"/>
          <w:b/>
          <w:sz w:val="20"/>
        </w:rPr>
      </w:pPr>
      <w:r>
        <w:rPr>
          <w:rFonts w:ascii="Times New Roman" w:hAnsi="Times New Roman"/>
          <w:b/>
          <w:sz w:val="20"/>
        </w:rPr>
        <w:t xml:space="preserve">Due Diligence </w:t>
      </w:r>
    </w:p>
    <w:p>
      <w:pPr>
        <w:pStyle w:val="TextBody"/>
        <w:bidi w:val="0"/>
        <w:spacing w:before="240" w:after="0"/>
        <w:jc w:val="left"/>
        <w:rPr>
          <w:rFonts w:ascii="Times New Roman" w:hAnsi="Times New Roman"/>
          <w:i/>
          <w:sz w:val="20"/>
        </w:rPr>
      </w:pPr>
      <w:r>
        <w:rPr>
          <w:rFonts w:ascii="Times New Roman" w:hAnsi="Times New Roman"/>
          <w:i/>
          <w:sz w:val="20"/>
        </w:rPr>
        <w:t xml:space="preserve">Due Diligence Process </w:t>
      </w:r>
    </w:p>
    <w:p>
      <w:pPr>
        <w:pStyle w:val="TextBody"/>
        <w:bidi w:val="0"/>
        <w:spacing w:before="240" w:after="0"/>
        <w:jc w:val="left"/>
        <w:rPr>
          <w:rFonts w:ascii="Times New Roman" w:hAnsi="Times New Roman"/>
          <w:sz w:val="20"/>
        </w:rPr>
      </w:pPr>
      <w:r>
        <w:rPr>
          <w:rFonts w:ascii="Times New Roman" w:hAnsi="Times New Roman"/>
          <w:sz w:val="20"/>
        </w:rPr>
        <w:t xml:space="preserve">Flexsteel assembled an internal Conflict Minerals compliance team including representatives from supply chain management, design and development, manufacturing, and finance with overall support from executive leaders. The compliance team conducted internal training educating internal personnel on the requirements of the Conflict Minerals regulations. </w:t>
      </w:r>
    </w:p>
    <w:p>
      <w:pPr>
        <w:pStyle w:val="TextBody"/>
        <w:bidi w:val="0"/>
        <w:spacing w:before="240" w:after="0"/>
        <w:jc w:val="left"/>
        <w:rPr>
          <w:rFonts w:ascii="Times New Roman" w:hAnsi="Times New Roman"/>
          <w:sz w:val="20"/>
        </w:rPr>
      </w:pPr>
      <w:r>
        <w:rPr>
          <w:rFonts w:ascii="Times New Roman" w:hAnsi="Times New Roman"/>
          <w:sz w:val="20"/>
        </w:rPr>
        <w:t xml:space="preserve">We adopted a policy relating to Conflict Minerals, incorporating the standards set forth in the Organization for Economic Co-operation and Development (OECD) Due Diligence Guidance for Responsible Supply Chains of Minerals from Conflict-Affected and High-Risk Areas Third Edition including related Supplements (“OECD Framework”). Our policy states that we are committed to ethical practices and compliance with all applicable laws and regulations. We encourage our suppliers to source materials from socially responsible sub-tier suppliers and manufacturers and to assist us in complying with the SEC regulations by providing chain of custody declarations to verify the origin of the Conflict Minerals contained in our products. Our policy further states that we will work with our suppliers and our customers (where the supply chain has been established by our customers) to seek remedies for non-compliance. We established separate internal non-compliance guidelines for addressing those suppliers who do not respond to our request for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supply chain with respect to Covered Products contains many third parties between the ultimate manufacture of the Covered Products and the original sources of Conflict Minerals. We do not purchase Conflict Minerals directly from mines, smelters, or refiners. We must therefore rely on our suppliers, many of whom are not obligated to file a Conflict Minerals report, to provide information regarding the origin of Conflict Minerals that are included in Covered Products.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the calendar year 2025, we conducted a good faith reasonable country of origin inquiry regarding the Conflict Minerals. This good faith reasonable country of origin inquiry was designed to determine whether any of the Conflict Minerals originated in the Covered Countries and whether any of the Conflict Minerals may be from recycled or scrap sources. We also exercised due diligence on the source and chain of custody of the Conflict Minerals. We strive to conform our due diligence measures to the OECD Framework for each of the Conflict Minerals. </w:t>
      </w:r>
    </w:p>
    <w:p>
      <w:pPr>
        <w:pStyle w:val="TextBody"/>
        <w:bidi w:val="0"/>
        <w:spacing w:before="240" w:after="0"/>
        <w:jc w:val="left"/>
        <w:rPr>
          <w:rFonts w:ascii="Times New Roman" w:hAnsi="Times New Roman"/>
          <w:sz w:val="20"/>
        </w:rPr>
      </w:pPr>
      <w:r>
        <w:rPr>
          <w:rFonts w:ascii="Times New Roman" w:hAnsi="Times New Roman"/>
          <w:sz w:val="20"/>
        </w:rPr>
        <w:t xml:space="preserve">Our reasonable country of origin inquiry and due diligence measures included assessing our products to determine the list of Covered Products, identifying our direct suppliers who may contribute necessary Conflict Minerals for the Covered Products, educating direct suppliers on the Conflict Minerals regulations, and outlining the Company’s Conflict Minerals Policy and expectations on responsible supply chain sourcing, and following up with direct suppliers who did not respond to our inquiry or who provided incomplete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our inquiries are as follows: 97.83% of our suppliers responded to our inquiry. Of the 97.83% that responded, 10.87% utilize cassiterite and 6.52% utilize gold. The suppliers utilizing cassiterite and gold reported the country of origin as China orNon-Covered Countries. We did not receive responses from approximately 2.17% of our suppliers. These suppliers continue to investigate their products. We will continue to work with our remaining suppliers to obtain the information needed. </w:t>
      </w:r>
    </w:p>
    <w:p>
      <w:pPr>
        <w:pStyle w:val="TextBody"/>
        <w:bidi w:val="0"/>
        <w:spacing w:before="360" w:after="0"/>
        <w:jc w:val="left"/>
        <w:rPr>
          <w:rFonts w:ascii="Times New Roman" w:hAnsi="Times New Roman"/>
          <w:i/>
          <w:sz w:val="20"/>
        </w:rPr>
      </w:pPr>
      <w:r>
        <w:rPr>
          <w:rFonts w:ascii="Times New Roman" w:hAnsi="Times New Roman"/>
          <w:i/>
          <w:sz w:val="20"/>
        </w:rPr>
        <w:t xml:space="preserve">Future Due Diligence Measures </w:t>
      </w:r>
    </w:p>
    <w:p>
      <w:pPr>
        <w:pStyle w:val="TextBody"/>
        <w:bidi w:val="0"/>
        <w:spacing w:before="120" w:after="0"/>
        <w:jc w:val="left"/>
        <w:rPr>
          <w:rFonts w:ascii="Times New Roman" w:hAnsi="Times New Roman"/>
          <w:sz w:val="20"/>
        </w:rPr>
      </w:pPr>
      <w:r>
        <w:rPr>
          <w:rFonts w:ascii="Times New Roman" w:hAnsi="Times New Roman"/>
          <w:sz w:val="20"/>
        </w:rPr>
        <w:t xml:space="preserve">We will continue to educate our suppliers on the Rule, work with our suppliers to obtain accurate and complete information about the supply chain, and encourage our suppliers to implement responsible sourcing. As we develop new products and manufacture or contract to manufacture these new products, we will perform an upfront assessment of the supply chain to ensure it is compliant with our Conflict Minerals Policy.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1313</Words>
  <Characters>7527</Characters>
  <CharactersWithSpaces>8859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